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965D4" w14:textId="77777777" w:rsidR="0045786A" w:rsidRDefault="00103912">
      <w:pPr>
        <w:pStyle w:val="Title"/>
        <w:jc w:val="center"/>
      </w:pPr>
      <w:bookmarkStart w:id="0" w:name="_idsb84n1jmj3" w:colFirst="0" w:colLast="0"/>
      <w:bookmarkEnd w:id="0"/>
      <w:r>
        <w:t xml:space="preserve">The Unsung Heroes of The Kentucky Derby </w:t>
      </w:r>
    </w:p>
    <w:p w14:paraId="670469DA" w14:textId="77777777" w:rsidR="0045786A" w:rsidRDefault="0045786A">
      <w:pPr>
        <w:jc w:val="center"/>
        <w:rPr>
          <w:sz w:val="24"/>
          <w:szCs w:val="24"/>
        </w:rPr>
      </w:pPr>
    </w:p>
    <w:p w14:paraId="2F5DC95B" w14:textId="77777777" w:rsidR="0045786A" w:rsidRDefault="00103912">
      <w:pPr>
        <w:jc w:val="center"/>
        <w:rPr>
          <w:sz w:val="24"/>
          <w:szCs w:val="24"/>
        </w:rPr>
      </w:pPr>
      <w:r>
        <w:rPr>
          <w:sz w:val="24"/>
          <w:szCs w:val="24"/>
        </w:rPr>
        <w:t>Created by Carla Criswell</w:t>
      </w:r>
    </w:p>
    <w:p w14:paraId="3C0276E2" w14:textId="77777777" w:rsidR="0045786A" w:rsidRDefault="00103912">
      <w:pPr>
        <w:jc w:val="center"/>
        <w:rPr>
          <w:sz w:val="24"/>
          <w:szCs w:val="24"/>
        </w:rPr>
      </w:pPr>
      <w:r>
        <w:rPr>
          <w:sz w:val="24"/>
          <w:szCs w:val="24"/>
        </w:rPr>
        <w:t xml:space="preserve">for </w:t>
      </w:r>
    </w:p>
    <w:p w14:paraId="4597993D" w14:textId="77777777" w:rsidR="0045786A" w:rsidRDefault="00103912">
      <w:pPr>
        <w:jc w:val="center"/>
        <w:rPr>
          <w:sz w:val="24"/>
          <w:szCs w:val="24"/>
        </w:rPr>
      </w:pPr>
      <w:r>
        <w:rPr>
          <w:sz w:val="24"/>
          <w:szCs w:val="24"/>
        </w:rPr>
        <w:t>The Chronicle of African Americans in the Horse Industry</w:t>
      </w:r>
    </w:p>
    <w:p w14:paraId="63DE8A88" w14:textId="77777777" w:rsidR="0045786A" w:rsidRDefault="00103912">
      <w:pPr>
        <w:jc w:val="center"/>
        <w:rPr>
          <w:sz w:val="24"/>
          <w:szCs w:val="24"/>
        </w:rPr>
      </w:pPr>
      <w:r>
        <w:rPr>
          <w:sz w:val="24"/>
          <w:szCs w:val="24"/>
        </w:rPr>
        <w:t>www.AfricanAmericanHorseStories.org</w:t>
      </w:r>
    </w:p>
    <w:p w14:paraId="6B756749" w14:textId="77777777" w:rsidR="0045786A" w:rsidRDefault="00103912">
      <w:pPr>
        <w:jc w:val="center"/>
        <w:rPr>
          <w:b/>
          <w:sz w:val="20"/>
          <w:szCs w:val="20"/>
          <w:highlight w:val="white"/>
        </w:rPr>
      </w:pPr>
      <w:r>
        <w:rPr>
          <w:i/>
          <w:sz w:val="18"/>
          <w:szCs w:val="18"/>
        </w:rPr>
        <w:tab/>
      </w:r>
    </w:p>
    <w:p w14:paraId="12083A3B" w14:textId="77777777" w:rsidR="0045786A" w:rsidRDefault="0045786A">
      <w:pPr>
        <w:rPr>
          <w:sz w:val="20"/>
          <w:szCs w:val="20"/>
          <w:highlight w:val="white"/>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29304101" w14:textId="77777777">
        <w:trPr>
          <w:trHeight w:val="760"/>
        </w:trPr>
        <w:tc>
          <w:tcPr>
            <w:tcW w:w="10800" w:type="dxa"/>
            <w:shd w:val="clear" w:color="auto" w:fill="F4CCCC"/>
            <w:tcMar>
              <w:top w:w="100" w:type="dxa"/>
              <w:left w:w="100" w:type="dxa"/>
              <w:bottom w:w="100" w:type="dxa"/>
              <w:right w:w="100" w:type="dxa"/>
            </w:tcMar>
          </w:tcPr>
          <w:p w14:paraId="60AEB3B0" w14:textId="77777777" w:rsidR="0045786A" w:rsidRDefault="00103912">
            <w:pPr>
              <w:widowControl w:val="0"/>
              <w:spacing w:line="240" w:lineRule="auto"/>
              <w:jc w:val="center"/>
              <w:rPr>
                <w:b/>
                <w:sz w:val="48"/>
                <w:szCs w:val="48"/>
              </w:rPr>
            </w:pPr>
            <w:r>
              <w:rPr>
                <w:b/>
                <w:sz w:val="48"/>
                <w:szCs w:val="48"/>
              </w:rPr>
              <w:t>Summary</w:t>
            </w:r>
          </w:p>
        </w:tc>
      </w:tr>
      <w:tr w:rsidR="0045786A" w14:paraId="4ED691CB" w14:textId="77777777">
        <w:tc>
          <w:tcPr>
            <w:tcW w:w="10800" w:type="dxa"/>
            <w:shd w:val="clear" w:color="auto" w:fill="auto"/>
            <w:tcMar>
              <w:top w:w="100" w:type="dxa"/>
              <w:left w:w="100" w:type="dxa"/>
              <w:bottom w:w="100" w:type="dxa"/>
              <w:right w:w="100" w:type="dxa"/>
            </w:tcMar>
          </w:tcPr>
          <w:p w14:paraId="3B3A8394" w14:textId="77777777" w:rsidR="0045786A" w:rsidRDefault="00103912">
            <w:pPr>
              <w:widowControl w:val="0"/>
              <w:spacing w:line="240" w:lineRule="auto"/>
              <w:rPr>
                <w:sz w:val="24"/>
                <w:szCs w:val="24"/>
              </w:rPr>
            </w:pPr>
            <w:r>
              <w:rPr>
                <w:sz w:val="24"/>
                <w:szCs w:val="24"/>
              </w:rPr>
              <w:t>In this module, students will explore and research the impact African Americans had on the Kentucky horse industry. Most importantly, students will focus on the Kentucky Derby by examining information through The Chronicle of African Americans in the Horse</w:t>
            </w:r>
            <w:r>
              <w:rPr>
                <w:sz w:val="24"/>
                <w:szCs w:val="24"/>
              </w:rPr>
              <w:t xml:space="preserve"> Industry. Also, using credible sources, students will present information on the impact the “unsung heroes” had on making the derby an American phenomenon. </w:t>
            </w:r>
          </w:p>
        </w:tc>
      </w:tr>
    </w:tbl>
    <w:p w14:paraId="18A3E819" w14:textId="77777777" w:rsidR="0045786A" w:rsidRDefault="0045786A">
      <w:pPr>
        <w:rPr>
          <w:sz w:val="20"/>
          <w:szCs w:val="20"/>
          <w:highlight w:val="white"/>
        </w:rPr>
      </w:pPr>
    </w:p>
    <w:p w14:paraId="630BC845" w14:textId="77777777" w:rsidR="0045786A" w:rsidRDefault="0045786A">
      <w:pPr>
        <w:rPr>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12CC4C25" w14:textId="77777777">
        <w:trPr>
          <w:trHeight w:val="760"/>
        </w:trPr>
        <w:tc>
          <w:tcPr>
            <w:tcW w:w="10800" w:type="dxa"/>
            <w:shd w:val="clear" w:color="auto" w:fill="FCE5CD"/>
            <w:tcMar>
              <w:top w:w="100" w:type="dxa"/>
              <w:left w:w="100" w:type="dxa"/>
              <w:bottom w:w="100" w:type="dxa"/>
              <w:right w:w="100" w:type="dxa"/>
            </w:tcMar>
          </w:tcPr>
          <w:p w14:paraId="560ED9F4" w14:textId="77777777" w:rsidR="0045786A" w:rsidRDefault="00103912">
            <w:pPr>
              <w:widowControl w:val="0"/>
              <w:spacing w:line="240" w:lineRule="auto"/>
              <w:jc w:val="center"/>
              <w:rPr>
                <w:b/>
                <w:sz w:val="48"/>
                <w:szCs w:val="48"/>
              </w:rPr>
            </w:pPr>
            <w:r>
              <w:rPr>
                <w:b/>
                <w:sz w:val="48"/>
                <w:szCs w:val="48"/>
              </w:rPr>
              <w:t>Grade Levels, Subjects, Standards</w:t>
            </w:r>
          </w:p>
        </w:tc>
      </w:tr>
      <w:tr w:rsidR="0045786A" w14:paraId="23396F41" w14:textId="77777777">
        <w:tc>
          <w:tcPr>
            <w:tcW w:w="10800" w:type="dxa"/>
            <w:shd w:val="clear" w:color="auto" w:fill="auto"/>
            <w:tcMar>
              <w:top w:w="100" w:type="dxa"/>
              <w:left w:w="100" w:type="dxa"/>
              <w:bottom w:w="100" w:type="dxa"/>
              <w:right w:w="100" w:type="dxa"/>
            </w:tcMar>
          </w:tcPr>
          <w:p w14:paraId="4291ED80" w14:textId="77777777" w:rsidR="0045786A" w:rsidRDefault="00103912">
            <w:pPr>
              <w:rPr>
                <w:sz w:val="24"/>
                <w:szCs w:val="24"/>
              </w:rPr>
            </w:pPr>
            <w:r>
              <w:rPr>
                <w:sz w:val="24"/>
                <w:szCs w:val="24"/>
              </w:rPr>
              <w:t>6-8</w:t>
            </w:r>
          </w:p>
          <w:p w14:paraId="73511AF8" w14:textId="77777777" w:rsidR="0045786A" w:rsidRDefault="00103912">
            <w:pPr>
              <w:widowControl w:val="0"/>
              <w:spacing w:line="240" w:lineRule="auto"/>
              <w:rPr>
                <w:sz w:val="24"/>
                <w:szCs w:val="24"/>
              </w:rPr>
            </w:pPr>
            <w:r>
              <w:t>Reading/Language Arts</w:t>
            </w:r>
          </w:p>
          <w:p w14:paraId="09848346" w14:textId="77777777" w:rsidR="0045786A" w:rsidRDefault="00103912">
            <w:pPr>
              <w:rPr>
                <w:sz w:val="24"/>
                <w:szCs w:val="24"/>
              </w:rPr>
            </w:pPr>
            <w:r>
              <w:rPr>
                <w:sz w:val="24"/>
                <w:szCs w:val="24"/>
              </w:rPr>
              <w:t xml:space="preserve">Kentucky Academic Standards Reading and Writing </w:t>
            </w:r>
            <w:r>
              <w:t>RI.6.7, RI.7.7, RI.8.7, RI 6.10, RI7.10, RI.8.10, C.6.2, C.7.2, C.8.2, C.6.5, C.7.5, C.8.5, C.6.6, C.7.6, C.8.6</w:t>
            </w:r>
          </w:p>
          <w:p w14:paraId="3BACCC8D" w14:textId="77777777" w:rsidR="0045786A" w:rsidRDefault="00103912">
            <w:pPr>
              <w:widowControl w:val="0"/>
              <w:spacing w:line="240" w:lineRule="auto"/>
            </w:pPr>
            <w:r>
              <w:t>C3 Framework For Social Studies State Standards D</w:t>
            </w:r>
            <w:proofErr w:type="gramStart"/>
            <w:r>
              <w:t>2.His</w:t>
            </w:r>
            <w:proofErr w:type="gramEnd"/>
            <w:r>
              <w:t>.1.6-8, D2.His.3.6-8</w:t>
            </w:r>
          </w:p>
          <w:p w14:paraId="6F3018EF" w14:textId="77777777" w:rsidR="0045786A" w:rsidRDefault="00103912">
            <w:pPr>
              <w:widowControl w:val="0"/>
              <w:spacing w:line="240" w:lineRule="auto"/>
            </w:pPr>
            <w:r>
              <w:t>Common Core CCSS.ELA-</w:t>
            </w:r>
            <w:r>
              <w:t>LITERACY.WHST.6-8.9</w:t>
            </w:r>
          </w:p>
        </w:tc>
      </w:tr>
    </w:tbl>
    <w:p w14:paraId="6D6DCFC6" w14:textId="77777777" w:rsidR="0045786A" w:rsidRDefault="0045786A">
      <w:pPr>
        <w:rPr>
          <w:sz w:val="20"/>
          <w:szCs w:val="20"/>
          <w:highlight w:val="white"/>
        </w:rPr>
      </w:pPr>
    </w:p>
    <w:p w14:paraId="28C8E3DB" w14:textId="77777777" w:rsidR="0045786A" w:rsidRDefault="0045786A">
      <w:pPr>
        <w:rPr>
          <w:sz w:val="20"/>
          <w:szCs w:val="20"/>
          <w:highlight w:val="white"/>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6FFFA76B" w14:textId="77777777">
        <w:trPr>
          <w:trHeight w:val="760"/>
        </w:trPr>
        <w:tc>
          <w:tcPr>
            <w:tcW w:w="10800" w:type="dxa"/>
            <w:shd w:val="clear" w:color="auto" w:fill="FFF2CC"/>
            <w:tcMar>
              <w:top w:w="100" w:type="dxa"/>
              <w:left w:w="100" w:type="dxa"/>
              <w:bottom w:w="100" w:type="dxa"/>
              <w:right w:w="100" w:type="dxa"/>
            </w:tcMar>
          </w:tcPr>
          <w:p w14:paraId="3DDA0507" w14:textId="77777777" w:rsidR="0045786A" w:rsidRDefault="00103912">
            <w:pPr>
              <w:widowControl w:val="0"/>
              <w:spacing w:line="240" w:lineRule="auto"/>
              <w:jc w:val="center"/>
              <w:rPr>
                <w:b/>
                <w:sz w:val="48"/>
                <w:szCs w:val="48"/>
              </w:rPr>
            </w:pPr>
            <w:r>
              <w:rPr>
                <w:b/>
                <w:sz w:val="48"/>
                <w:szCs w:val="48"/>
              </w:rPr>
              <w:t>Time Requirements</w:t>
            </w:r>
          </w:p>
        </w:tc>
      </w:tr>
      <w:tr w:rsidR="0045786A" w14:paraId="0B86C830" w14:textId="77777777">
        <w:tc>
          <w:tcPr>
            <w:tcW w:w="10800" w:type="dxa"/>
            <w:shd w:val="clear" w:color="auto" w:fill="auto"/>
            <w:tcMar>
              <w:top w:w="100" w:type="dxa"/>
              <w:left w:w="100" w:type="dxa"/>
              <w:bottom w:w="100" w:type="dxa"/>
              <w:right w:w="100" w:type="dxa"/>
            </w:tcMar>
          </w:tcPr>
          <w:p w14:paraId="3DC6B7D2" w14:textId="77777777" w:rsidR="0045786A" w:rsidRDefault="00103912">
            <w:pPr>
              <w:widowControl w:val="0"/>
              <w:spacing w:line="240" w:lineRule="auto"/>
              <w:rPr>
                <w:sz w:val="24"/>
                <w:szCs w:val="24"/>
              </w:rPr>
            </w:pPr>
            <w:r>
              <w:t xml:space="preserve">Two-three weeks (with extension activities)  </w:t>
            </w:r>
          </w:p>
        </w:tc>
      </w:tr>
    </w:tbl>
    <w:p w14:paraId="4CBA8532" w14:textId="77777777" w:rsidR="0045786A" w:rsidRDefault="00103912">
      <w:pPr>
        <w:rPr>
          <w:sz w:val="20"/>
          <w:szCs w:val="20"/>
          <w:highlight w:val="white"/>
        </w:rPr>
      </w:pPr>
      <w:r>
        <w:rPr>
          <w:sz w:val="20"/>
          <w:szCs w:val="20"/>
          <w:highlight w:val="white"/>
        </w:rPr>
        <w:br/>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249757DD" w14:textId="77777777">
        <w:trPr>
          <w:trHeight w:val="760"/>
        </w:trPr>
        <w:tc>
          <w:tcPr>
            <w:tcW w:w="10800" w:type="dxa"/>
            <w:shd w:val="clear" w:color="auto" w:fill="D9EAD3"/>
            <w:tcMar>
              <w:top w:w="100" w:type="dxa"/>
              <w:left w:w="100" w:type="dxa"/>
              <w:bottom w:w="100" w:type="dxa"/>
              <w:right w:w="100" w:type="dxa"/>
            </w:tcMar>
          </w:tcPr>
          <w:p w14:paraId="2A94AC00" w14:textId="77777777" w:rsidR="0045786A" w:rsidRDefault="00103912">
            <w:pPr>
              <w:widowControl w:val="0"/>
              <w:spacing w:line="240" w:lineRule="auto"/>
              <w:jc w:val="center"/>
              <w:rPr>
                <w:b/>
                <w:sz w:val="48"/>
                <w:szCs w:val="48"/>
              </w:rPr>
            </w:pPr>
            <w:r>
              <w:rPr>
                <w:b/>
                <w:sz w:val="48"/>
                <w:szCs w:val="48"/>
              </w:rPr>
              <w:lastRenderedPageBreak/>
              <w:t>Chronicle Theme and Resources</w:t>
            </w:r>
          </w:p>
        </w:tc>
      </w:tr>
      <w:tr w:rsidR="0045786A" w14:paraId="726B5FAB" w14:textId="77777777">
        <w:tc>
          <w:tcPr>
            <w:tcW w:w="10800" w:type="dxa"/>
            <w:shd w:val="clear" w:color="auto" w:fill="auto"/>
            <w:tcMar>
              <w:top w:w="100" w:type="dxa"/>
              <w:left w:w="100" w:type="dxa"/>
              <w:bottom w:w="100" w:type="dxa"/>
              <w:right w:w="100" w:type="dxa"/>
            </w:tcMar>
          </w:tcPr>
          <w:p w14:paraId="5D128749" w14:textId="77777777" w:rsidR="0045786A" w:rsidRDefault="00103912">
            <w:pPr>
              <w:widowControl w:val="0"/>
              <w:spacing w:line="240" w:lineRule="auto"/>
            </w:pPr>
            <w:r>
              <w:t>Before Emancipation, Win Hands Down</w:t>
            </w:r>
          </w:p>
          <w:p w14:paraId="2ADCD8BB" w14:textId="77777777" w:rsidR="0045786A" w:rsidRDefault="00103912">
            <w:pPr>
              <w:widowControl w:val="0"/>
              <w:spacing w:line="240" w:lineRule="auto"/>
            </w:pPr>
            <w:r>
              <w:t xml:space="preserve">Research the Collection: Person Profile (Eddie Sweat, Charles Davis, Alonzo Clayton, Oliver Lewis, </w:t>
            </w:r>
            <w:proofErr w:type="spellStart"/>
            <w:r>
              <w:t>Issac</w:t>
            </w:r>
            <w:proofErr w:type="spellEnd"/>
            <w:r>
              <w:t xml:space="preserve"> Burns Murphy, William “Billy” Walker, Garrett Davis </w:t>
            </w:r>
            <w:proofErr w:type="spellStart"/>
            <w:proofErr w:type="gramStart"/>
            <w:r>
              <w:t>Lewis,Gabe</w:t>
            </w:r>
            <w:proofErr w:type="spellEnd"/>
            <w:proofErr w:type="gramEnd"/>
            <w:r>
              <w:t xml:space="preserve"> Hurd, </w:t>
            </w:r>
            <w:proofErr w:type="spellStart"/>
            <w:r>
              <w:t>Issac</w:t>
            </w:r>
            <w:proofErr w:type="spellEnd"/>
            <w:r>
              <w:t xml:space="preserve"> Lewis, Erskine “Babe” Henderson, Alonzo “Lonnie” Clayton, James “Soup” Perki</w:t>
            </w:r>
            <w:r>
              <w:t xml:space="preserve">ns, Willie Sims, Jimmy </w:t>
            </w:r>
            <w:proofErr w:type="spellStart"/>
            <w:r>
              <w:t>Winkfield</w:t>
            </w:r>
            <w:proofErr w:type="spellEnd"/>
            <w:r>
              <w:t xml:space="preserve"> )</w:t>
            </w:r>
          </w:p>
          <w:p w14:paraId="75735645" w14:textId="77777777" w:rsidR="0045786A" w:rsidRDefault="00103912">
            <w:pPr>
              <w:widowControl w:val="0"/>
              <w:spacing w:line="240" w:lineRule="auto"/>
            </w:pPr>
            <w:r>
              <w:t>Research the Collection: Event: Kentucky Derby</w:t>
            </w:r>
          </w:p>
          <w:p w14:paraId="64C19B30" w14:textId="77777777" w:rsidR="0045786A" w:rsidRDefault="00103912">
            <w:pPr>
              <w:widowControl w:val="0"/>
              <w:spacing w:line="240" w:lineRule="auto"/>
              <w:rPr>
                <w:sz w:val="24"/>
                <w:szCs w:val="24"/>
              </w:rPr>
            </w:pPr>
            <w:r>
              <w:t>Research the Collection: Stories: Notable Partnerships (Edward Dudley Brown, Ansel Williamson)</w:t>
            </w:r>
          </w:p>
        </w:tc>
      </w:tr>
    </w:tbl>
    <w:p w14:paraId="1C421E28" w14:textId="77777777" w:rsidR="0045786A" w:rsidRDefault="0045786A">
      <w:pPr>
        <w:rPr>
          <w:sz w:val="20"/>
          <w:szCs w:val="20"/>
          <w:highlight w:val="white"/>
        </w:rPr>
      </w:pPr>
    </w:p>
    <w:p w14:paraId="2F8BA1E6" w14:textId="77777777" w:rsidR="0045786A" w:rsidRDefault="0045786A">
      <w:pPr>
        <w:rPr>
          <w:sz w:val="20"/>
          <w:szCs w:val="20"/>
          <w:highlight w:val="white"/>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0974FA04" w14:textId="77777777">
        <w:trPr>
          <w:trHeight w:val="760"/>
        </w:trPr>
        <w:tc>
          <w:tcPr>
            <w:tcW w:w="10800" w:type="dxa"/>
            <w:shd w:val="clear" w:color="auto" w:fill="C9DAF8"/>
            <w:tcMar>
              <w:top w:w="100" w:type="dxa"/>
              <w:left w:w="100" w:type="dxa"/>
              <w:bottom w:w="100" w:type="dxa"/>
              <w:right w:w="100" w:type="dxa"/>
            </w:tcMar>
          </w:tcPr>
          <w:p w14:paraId="1ACEC554" w14:textId="77777777" w:rsidR="0045786A" w:rsidRDefault="00103912">
            <w:pPr>
              <w:widowControl w:val="0"/>
              <w:spacing w:line="240" w:lineRule="auto"/>
              <w:jc w:val="center"/>
              <w:rPr>
                <w:b/>
                <w:sz w:val="48"/>
                <w:szCs w:val="48"/>
              </w:rPr>
            </w:pPr>
            <w:r>
              <w:rPr>
                <w:b/>
                <w:sz w:val="48"/>
                <w:szCs w:val="48"/>
              </w:rPr>
              <w:t>Goals</w:t>
            </w:r>
          </w:p>
        </w:tc>
      </w:tr>
      <w:tr w:rsidR="0045786A" w14:paraId="5B616D6B" w14:textId="77777777">
        <w:tc>
          <w:tcPr>
            <w:tcW w:w="10800" w:type="dxa"/>
            <w:shd w:val="clear" w:color="auto" w:fill="auto"/>
            <w:tcMar>
              <w:top w:w="100" w:type="dxa"/>
              <w:left w:w="100" w:type="dxa"/>
              <w:bottom w:w="100" w:type="dxa"/>
              <w:right w:w="100" w:type="dxa"/>
            </w:tcMar>
          </w:tcPr>
          <w:p w14:paraId="67A81E67" w14:textId="77777777" w:rsidR="0045786A" w:rsidRDefault="00103912">
            <w:pPr>
              <w:numPr>
                <w:ilvl w:val="0"/>
                <w:numId w:val="1"/>
              </w:numPr>
            </w:pPr>
            <w:r>
              <w:t>Students will be able to research an African American that made a significant contribution to the Kentucky Derby.</w:t>
            </w:r>
          </w:p>
          <w:p w14:paraId="37A3430A" w14:textId="77777777" w:rsidR="0045786A" w:rsidRDefault="00103912">
            <w:pPr>
              <w:numPr>
                <w:ilvl w:val="0"/>
                <w:numId w:val="1"/>
              </w:numPr>
            </w:pPr>
            <w:r>
              <w:t xml:space="preserve">Students will be able to use credible sources to collect information about the person’s life and contributions. </w:t>
            </w:r>
          </w:p>
          <w:p w14:paraId="0D4FA683" w14:textId="77777777" w:rsidR="0045786A" w:rsidRDefault="00103912">
            <w:pPr>
              <w:numPr>
                <w:ilvl w:val="0"/>
                <w:numId w:val="1"/>
              </w:numPr>
            </w:pPr>
            <w:r>
              <w:t>Students will be able to pres</w:t>
            </w:r>
            <w:r>
              <w:t>ent information in a creative way to showcase his/her person’s life and accomplishments.</w:t>
            </w:r>
          </w:p>
          <w:p w14:paraId="43B394D4" w14:textId="77777777" w:rsidR="0045786A" w:rsidRDefault="00103912">
            <w:pPr>
              <w:numPr>
                <w:ilvl w:val="0"/>
                <w:numId w:val="1"/>
              </w:numPr>
            </w:pPr>
            <w:r>
              <w:t xml:space="preserve">Students will be able to use 21st century skills to write a </w:t>
            </w:r>
            <w:proofErr w:type="gramStart"/>
            <w:r>
              <w:t>one minute</w:t>
            </w:r>
            <w:proofErr w:type="gramEnd"/>
            <w:r>
              <w:t xml:space="preserve"> speech and create a display board of information about their person to engage an authentic audie</w:t>
            </w:r>
            <w:r>
              <w:t>nce.</w:t>
            </w:r>
          </w:p>
        </w:tc>
      </w:tr>
    </w:tbl>
    <w:p w14:paraId="43AF8AFF" w14:textId="77777777" w:rsidR="0045786A" w:rsidRDefault="0045786A">
      <w:pPr>
        <w:rPr>
          <w:sz w:val="20"/>
          <w:szCs w:val="20"/>
          <w:highlight w:val="white"/>
        </w:rPr>
      </w:pPr>
    </w:p>
    <w:p w14:paraId="40742C68" w14:textId="77777777" w:rsidR="0045786A" w:rsidRDefault="0045786A">
      <w:pPr>
        <w:rPr>
          <w:sz w:val="20"/>
          <w:szCs w:val="20"/>
          <w:highlight w:val="white"/>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6112BF84" w14:textId="77777777">
        <w:trPr>
          <w:trHeight w:val="760"/>
        </w:trPr>
        <w:tc>
          <w:tcPr>
            <w:tcW w:w="10800" w:type="dxa"/>
            <w:shd w:val="clear" w:color="auto" w:fill="D9D2E9"/>
            <w:tcMar>
              <w:top w:w="100" w:type="dxa"/>
              <w:left w:w="100" w:type="dxa"/>
              <w:bottom w:w="100" w:type="dxa"/>
              <w:right w:w="100" w:type="dxa"/>
            </w:tcMar>
          </w:tcPr>
          <w:p w14:paraId="43D86E78" w14:textId="77777777" w:rsidR="0045786A" w:rsidRDefault="00103912">
            <w:pPr>
              <w:widowControl w:val="0"/>
              <w:spacing w:line="240" w:lineRule="auto"/>
              <w:jc w:val="center"/>
              <w:rPr>
                <w:b/>
                <w:sz w:val="48"/>
                <w:szCs w:val="48"/>
              </w:rPr>
            </w:pPr>
            <w:r>
              <w:rPr>
                <w:b/>
                <w:sz w:val="48"/>
                <w:szCs w:val="48"/>
              </w:rPr>
              <w:t>Guiding Question and Key Concepts</w:t>
            </w:r>
          </w:p>
        </w:tc>
      </w:tr>
      <w:tr w:rsidR="0045786A" w14:paraId="600049A6" w14:textId="77777777">
        <w:tc>
          <w:tcPr>
            <w:tcW w:w="10800" w:type="dxa"/>
            <w:shd w:val="clear" w:color="auto" w:fill="auto"/>
            <w:tcMar>
              <w:top w:w="100" w:type="dxa"/>
              <w:left w:w="100" w:type="dxa"/>
              <w:bottom w:w="100" w:type="dxa"/>
              <w:right w:w="100" w:type="dxa"/>
            </w:tcMar>
          </w:tcPr>
          <w:p w14:paraId="274A2790" w14:textId="77777777" w:rsidR="0045786A" w:rsidRDefault="00103912">
            <w:pPr>
              <w:numPr>
                <w:ilvl w:val="0"/>
                <w:numId w:val="2"/>
              </w:numPr>
              <w:rPr>
                <w:sz w:val="24"/>
                <w:szCs w:val="24"/>
              </w:rPr>
            </w:pPr>
            <w:r>
              <w:rPr>
                <w:sz w:val="24"/>
                <w:szCs w:val="24"/>
              </w:rPr>
              <w:t>In what ways did African Americans contribute to the history and the success of the Kentucky Derby?</w:t>
            </w:r>
          </w:p>
          <w:p w14:paraId="62DC7569" w14:textId="77777777" w:rsidR="0045786A" w:rsidRDefault="00103912">
            <w:pPr>
              <w:numPr>
                <w:ilvl w:val="0"/>
                <w:numId w:val="2"/>
              </w:numPr>
              <w:rPr>
                <w:sz w:val="24"/>
                <w:szCs w:val="24"/>
              </w:rPr>
            </w:pPr>
            <w:r>
              <w:rPr>
                <w:sz w:val="24"/>
                <w:szCs w:val="24"/>
              </w:rPr>
              <w:t>What impact did African Americans have on the horse industry before and after slavery?</w:t>
            </w:r>
          </w:p>
          <w:p w14:paraId="3E911C87" w14:textId="77777777" w:rsidR="0045786A" w:rsidRDefault="00103912">
            <w:pPr>
              <w:numPr>
                <w:ilvl w:val="0"/>
                <w:numId w:val="2"/>
              </w:numPr>
              <w:rPr>
                <w:sz w:val="24"/>
                <w:szCs w:val="24"/>
              </w:rPr>
            </w:pPr>
            <w:r>
              <w:rPr>
                <w:sz w:val="24"/>
                <w:szCs w:val="24"/>
              </w:rPr>
              <w:t>How can we acknowledge the “unsung heroes” that history has forgotten?</w:t>
            </w:r>
          </w:p>
        </w:tc>
      </w:tr>
    </w:tbl>
    <w:p w14:paraId="061640A5" w14:textId="77777777" w:rsidR="0045786A" w:rsidRDefault="0045786A">
      <w:pPr>
        <w:rPr>
          <w:sz w:val="20"/>
          <w:szCs w:val="20"/>
          <w:highlight w:val="white"/>
        </w:rPr>
      </w:pPr>
    </w:p>
    <w:p w14:paraId="1EBABD87" w14:textId="77777777" w:rsidR="0045786A" w:rsidRDefault="0045786A">
      <w:pPr>
        <w:rPr>
          <w:sz w:val="20"/>
          <w:szCs w:val="20"/>
          <w:highlight w:val="white"/>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5786A" w14:paraId="5F66A360" w14:textId="77777777">
        <w:trPr>
          <w:trHeight w:val="760"/>
        </w:trPr>
        <w:tc>
          <w:tcPr>
            <w:tcW w:w="10800" w:type="dxa"/>
            <w:shd w:val="clear" w:color="auto" w:fill="E6B8AF"/>
            <w:tcMar>
              <w:top w:w="100" w:type="dxa"/>
              <w:left w:w="100" w:type="dxa"/>
              <w:bottom w:w="100" w:type="dxa"/>
              <w:right w:w="100" w:type="dxa"/>
            </w:tcMar>
          </w:tcPr>
          <w:p w14:paraId="7D05B7BC" w14:textId="77777777" w:rsidR="0045786A" w:rsidRDefault="00103912">
            <w:pPr>
              <w:widowControl w:val="0"/>
              <w:spacing w:line="240" w:lineRule="auto"/>
              <w:jc w:val="center"/>
              <w:rPr>
                <w:b/>
                <w:sz w:val="48"/>
                <w:szCs w:val="48"/>
              </w:rPr>
            </w:pPr>
            <w:r>
              <w:rPr>
                <w:b/>
                <w:sz w:val="48"/>
                <w:szCs w:val="48"/>
              </w:rPr>
              <w:t>Vocabulary</w:t>
            </w:r>
          </w:p>
        </w:tc>
      </w:tr>
      <w:tr w:rsidR="0045786A" w14:paraId="1B4542EF" w14:textId="77777777">
        <w:tc>
          <w:tcPr>
            <w:tcW w:w="10800" w:type="dxa"/>
            <w:shd w:val="clear" w:color="auto" w:fill="auto"/>
            <w:tcMar>
              <w:top w:w="100" w:type="dxa"/>
              <w:left w:w="100" w:type="dxa"/>
              <w:bottom w:w="100" w:type="dxa"/>
              <w:right w:w="100" w:type="dxa"/>
            </w:tcMar>
          </w:tcPr>
          <w:p w14:paraId="7F969248" w14:textId="77777777" w:rsidR="0045786A" w:rsidRDefault="00103912">
            <w:pPr>
              <w:rPr>
                <w:sz w:val="24"/>
                <w:szCs w:val="24"/>
              </w:rPr>
            </w:pPr>
            <w:r>
              <w:rPr>
                <w:sz w:val="24"/>
                <w:szCs w:val="24"/>
              </w:rPr>
              <w:t>Credibility</w:t>
            </w:r>
          </w:p>
          <w:p w14:paraId="4E76D063" w14:textId="77777777" w:rsidR="0045786A" w:rsidRDefault="00103912">
            <w:pPr>
              <w:rPr>
                <w:sz w:val="24"/>
                <w:szCs w:val="24"/>
              </w:rPr>
            </w:pPr>
            <w:r>
              <w:rPr>
                <w:sz w:val="24"/>
                <w:szCs w:val="24"/>
              </w:rPr>
              <w:t>Fact</w:t>
            </w:r>
          </w:p>
          <w:p w14:paraId="3F254619" w14:textId="77777777" w:rsidR="0045786A" w:rsidRDefault="00103912">
            <w:pPr>
              <w:rPr>
                <w:sz w:val="24"/>
                <w:szCs w:val="24"/>
              </w:rPr>
            </w:pPr>
            <w:r>
              <w:rPr>
                <w:sz w:val="24"/>
                <w:szCs w:val="24"/>
              </w:rPr>
              <w:t>Jockey</w:t>
            </w:r>
          </w:p>
          <w:p w14:paraId="13FF08A6" w14:textId="77777777" w:rsidR="0045786A" w:rsidRDefault="00103912">
            <w:pPr>
              <w:rPr>
                <w:sz w:val="24"/>
                <w:szCs w:val="24"/>
              </w:rPr>
            </w:pPr>
            <w:r>
              <w:rPr>
                <w:sz w:val="24"/>
                <w:szCs w:val="24"/>
              </w:rPr>
              <w:t>Legacy</w:t>
            </w:r>
          </w:p>
          <w:p w14:paraId="39FB7A6F" w14:textId="77777777" w:rsidR="0045786A" w:rsidRDefault="00103912">
            <w:pPr>
              <w:rPr>
                <w:sz w:val="24"/>
                <w:szCs w:val="24"/>
              </w:rPr>
            </w:pPr>
            <w:r>
              <w:rPr>
                <w:sz w:val="24"/>
                <w:szCs w:val="24"/>
              </w:rPr>
              <w:lastRenderedPageBreak/>
              <w:t>Opinion</w:t>
            </w:r>
          </w:p>
          <w:p w14:paraId="7F94BBA7" w14:textId="77777777" w:rsidR="0045786A" w:rsidRDefault="00103912">
            <w:pPr>
              <w:rPr>
                <w:sz w:val="24"/>
                <w:szCs w:val="24"/>
              </w:rPr>
            </w:pPr>
            <w:r>
              <w:rPr>
                <w:sz w:val="24"/>
                <w:szCs w:val="24"/>
              </w:rPr>
              <w:t>Research</w:t>
            </w:r>
          </w:p>
          <w:p w14:paraId="07EFF2E0" w14:textId="77777777" w:rsidR="0045786A" w:rsidRDefault="00103912">
            <w:pPr>
              <w:rPr>
                <w:sz w:val="24"/>
                <w:szCs w:val="24"/>
              </w:rPr>
            </w:pPr>
            <w:r>
              <w:rPr>
                <w:sz w:val="24"/>
                <w:szCs w:val="24"/>
              </w:rPr>
              <w:t>Speech</w:t>
            </w:r>
          </w:p>
        </w:tc>
      </w:tr>
    </w:tbl>
    <w:p w14:paraId="4B259035" w14:textId="77777777" w:rsidR="0045786A" w:rsidRDefault="0045786A">
      <w:pPr>
        <w:rPr>
          <w:sz w:val="20"/>
          <w:szCs w:val="20"/>
          <w:highlight w:val="white"/>
        </w:rPr>
      </w:pPr>
    </w:p>
    <w:p w14:paraId="678F47E2" w14:textId="77777777" w:rsidR="0045786A" w:rsidRDefault="0045786A"/>
    <w:sectPr w:rsidR="0045786A">
      <w:pgSz w:w="12240" w:h="15840"/>
      <w:pgMar w:top="1440" w:right="144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01BCD"/>
    <w:multiLevelType w:val="multilevel"/>
    <w:tmpl w:val="7C2AFC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3C616AE"/>
    <w:multiLevelType w:val="multilevel"/>
    <w:tmpl w:val="AB207F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25279339">
    <w:abstractNumId w:val="0"/>
  </w:num>
  <w:num w:numId="2" w16cid:durableId="908030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86A"/>
    <w:rsid w:val="00103912"/>
    <w:rsid w:val="00457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EC2D"/>
  <w15:docId w15:val="{0601E0ED-26C5-4E47-B351-B92D025C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2023-04-26T19:16:00Z</dcterms:created>
  <dcterms:modified xsi:type="dcterms:W3CDTF">2023-04-26T19:16:00Z</dcterms:modified>
</cp:coreProperties>
</file>